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sz w:val="28"/>
          <w:szCs w:val="28"/>
        </w:rPr>
      </w:pPr>
      <w:r w:rsidDel="00000000" w:rsidR="00000000" w:rsidRPr="00000000">
        <w:rPr>
          <w:rtl w:val="0"/>
        </w:rPr>
        <w:br w:type="textWrapping"/>
        <w:t xml:space="preserve">Warszawa, 15 lipca 2026 roku</w:t>
        <w:br w:type="textWrapping"/>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Narodowa Strategia Onkologiczna na półmetku. Z 16 obiecanych rezultatów nie udało się osiągnąć żadnego</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Po sześciu latach realizacji Narodowej Strategii Onkologicznej (2020-2030) większość najważniejszych obietnic wobec pacjentów nadal pozostaje niespełniona. Choć kolejne zadania są formalnie zamykane, to oczekiwane rezultaty – szybsza diagnostyka, skuteczniejsza profilaktyka czy lepszy dostęp do leczenia – w większości nie zostały osiągnięte. Zgłaszalność na badania przesiewowe spadła poniżej poziomu z początku realizacji Strategii, w kraju brakuje ok. 500 onkologów, a system wciąż nie mierzy jakości leczenia. O szansach pacjenta w dużej mierze decyduje dziś miejsce zamieszkania. Takie wnioski płyną z najnowszego raportu Onkofundacji Alivia, który podsumowuje realizację Strategii w latach 2020–2025.</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Obietnice kontra rzeczywistość – Fundacja Alivia mówi: sprawdzam!</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Narodowa Strategia Onkologiczna miała być największym programem reformy polskiej onkologii. Dokument przyjęty w 2020 roku wyznaczył 95 zadań i 28 rezultatów, które miały poprawić sytuację milionów pacjentów oraz przygotować system ochrony zdrowia na rosnącą liczbę zachorowań na nowotwory.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t xml:space="preserve">Sześć lat po wdrożeniu Strategii Onkofundacja Alivia sprawdziła, co z tych obietnic udało się zrealizować. Wnioski są dość jednoznaczne. Spośród 78 zadań wyznaczonych do realizacji do końca 2025 r. w pełni i na czas wykonano jedynie 26, czyli co trzecie. </w:t>
      </w:r>
      <w:r w:rsidDel="00000000" w:rsidR="00000000" w:rsidRPr="00000000">
        <w:rPr>
          <w:b w:val="1"/>
          <w:bCs w:val="1"/>
          <w:rtl w:val="0"/>
        </w:rPr>
        <w:t xml:space="preserve">A spośród 16 oczekiwanych rezultatów, których termin już minął, nie udało się osiągnąć żadnego. Jedynym wyjątkiem jest rezultat osiągnięty przed terminem – dotyczy wzrostu liczby lekarzy.</w:t>
      </w:r>
    </w:p>
    <w:p w:rsidR="00000000" w:rsidDel="00000000" w:rsidP="00000000" w:rsidRDefault="00000000" w:rsidRPr="00000000" w14:paraId="0000000B">
      <w:pPr>
        <w:spacing w:after="240" w:before="240" w:lineRule="auto"/>
        <w:rPr/>
      </w:pPr>
      <w:r w:rsidDel="00000000" w:rsidR="00000000" w:rsidRPr="00000000">
        <w:rPr>
          <w:rtl w:val="0"/>
        </w:rPr>
        <w:t xml:space="preserve">Największy problem nie leży jednak wyłącznie w liczbach. Raport Onkofundacji pokazuje, że w wielu przypadkach sukces administracyjny nie oznacza poprawy sytuacji pacjenta. Zadania są formalnie zamykane, przepisy zmieniane, kolejne dokumenty przyjmowane, jednak rzeczywista poprawa dostępności diagnostyki i leczenia często nie następuje.</w:t>
      </w:r>
    </w:p>
    <w:p w:rsidR="00000000" w:rsidDel="00000000" w:rsidP="00000000" w:rsidRDefault="00000000" w:rsidRPr="00000000" w14:paraId="0000000C">
      <w:pPr>
        <w:numPr>
          <w:ilvl w:val="0"/>
          <w:numId w:val="1"/>
        </w:numPr>
        <w:ind w:left="720" w:hanging="360"/>
        <w:rPr/>
      </w:pPr>
      <w:r w:rsidDel="00000000" w:rsidR="00000000" w:rsidRPr="00000000">
        <w:rPr>
          <w:i w:val="1"/>
          <w:iCs w:val="1"/>
          <w:rtl w:val="0"/>
        </w:rPr>
        <w:t xml:space="preserve">Wiele zobowiązań z 2020 r. zostało w trakcie realizacji przesuniętych w czasie lub złagodzonych w treści, a formalne „odhaczenie” zadania zbyt często nie oznacza poprawy sytuacji pacjenta, dla którego czas ma decydujące znaczenie. Potwierdza to nasze badanie z lutego 2026 r., w którym pacjenci mówią wprost o zbyt długich kolejkach oraz straconym czasie na drodze do rozpoznania i leczenia</w:t>
      </w:r>
      <w:r w:rsidDel="00000000" w:rsidR="00000000" w:rsidRPr="00000000">
        <w:rPr>
          <w:rtl w:val="0"/>
        </w:rPr>
        <w:t xml:space="preserve"> – komentuje Joanna Frątczak-Kazana, autorka raportu oraz Wicedyrektorka Onkofundacji Alivia, we wstępie do publikacji.</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Badania profilaktyczne: spadki zamiast planowanych wzrostów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Najbardziej alarmujące wnioski dotyczą profilaktyki nowotworów. Narodowa Strategia Onkologiczna zakładała znaczący wzrost udziału Polek i Polaków w badaniach przesiewowych. Tymczasem po sześciu latach wskaźniki są niższe niż na początku realizacji Strategii.</w:t>
      </w:r>
    </w:p>
    <w:p w:rsidR="00000000" w:rsidDel="00000000" w:rsidP="00000000" w:rsidRDefault="00000000" w:rsidRPr="00000000" w14:paraId="00000012">
      <w:pPr>
        <w:spacing w:after="240" w:before="240" w:lineRule="auto"/>
        <w:rPr/>
      </w:pPr>
      <w:r w:rsidDel="00000000" w:rsidR="00000000" w:rsidRPr="00000000">
        <w:rPr>
          <w:rtl w:val="0"/>
        </w:rPr>
        <w:t xml:space="preserve">Na koniec 2025 roku zgłaszalność do programów profilaktycznych wynosiła: 33,5% w programie profilaktyki raka piersi, 15,8% w programie badań przesiewowych raka jelita grubego i 12,3% w programie profilaktyki raka szyjki macicy.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We wszystkich przypadkach wyniki pozostają nie tylko dalekie od celów wyznaczonych przez Strategię, ale również niższe od poziomu bazowego z 2020 roku.</w:t>
      </w:r>
      <w:r w:rsidDel="00000000" w:rsidR="00000000" w:rsidRPr="00000000">
        <w:rPr>
          <w:rtl w:val="0"/>
        </w:rPr>
        <w:t xml:space="preserve"> Według autorów raportu oznacza to, że jeden z najważniejszych filarów walki z nowotworami, czyli wczesne wykrywanie chorób, nie działa z oczekiwaną skutecznością.</w:t>
      </w:r>
    </w:p>
    <w:p w:rsidR="00000000" w:rsidDel="00000000" w:rsidP="00000000" w:rsidRDefault="00000000" w:rsidRPr="00000000" w14:paraId="00000014">
      <w:pPr>
        <w:spacing w:after="240" w:before="240" w:lineRule="auto"/>
        <w:rPr/>
      </w:pPr>
      <w:r w:rsidDel="00000000" w:rsidR="00000000" w:rsidRPr="00000000">
        <w:rPr/>
        <w:drawing>
          <wp:inline distB="114300" distT="114300" distL="114300" distR="114300">
            <wp:extent cx="5731200" cy="2235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Skala rozminięcia się z celami jest uderzająca. Strategia zakładała, że już do końca 2024 r. na badania w kierunku raka piersi zgłosi się 60% uprawnionych (wobec 39% w 2020 r.), na badania w kierunku raka szyjki macicy – 60% (wobec 17%), a raka jelita grubego – 30% (wobec 18%). Zamiast wzrostu nastąpił regres poniżej punktu wyjścia. </w:t>
      </w:r>
    </w:p>
    <w:p w:rsidR="00000000" w:rsidDel="00000000" w:rsidP="00000000" w:rsidRDefault="00000000" w:rsidRPr="00000000" w14:paraId="00000016">
      <w:pPr>
        <w:spacing w:after="240" w:before="240" w:lineRule="auto"/>
        <w:rPr/>
      </w:pPr>
      <w:r w:rsidDel="00000000" w:rsidR="00000000" w:rsidRPr="00000000">
        <w:rPr>
          <w:rtl w:val="0"/>
        </w:rPr>
        <w:t xml:space="preserve">Progu zgłaszalności 16%, uprawniającego placówki POZ do dodatku motywacyjnego w programie badań raka jelita grubego, nie osiągnął żaden podmiot w kraju. Mimo terminu wyznaczonego na koniec 2025 r. nie uruchomiono też zapowiadanych ogólnopolskich badań przesiewowych w kierunku raka płuca i raka gruczołu krokowego. Jednocześnie, jak ustaliła Najwyższa Izba Kontroli, na kampanie zachęcające do badań wydano w latach 2019–2023 ok. 136 mln zł – bez mierzalnego efektu. </w:t>
      </w:r>
    </w:p>
    <w:p w:rsidR="00000000" w:rsidDel="00000000" w:rsidP="00000000" w:rsidRDefault="00000000" w:rsidRPr="00000000" w14:paraId="00000017">
      <w:pPr>
        <w:spacing w:after="240" w:before="240" w:lineRule="auto"/>
        <w:rPr>
          <w:b w:val="1"/>
          <w:bCs w:val="1"/>
          <w:sz w:val="24"/>
          <w:szCs w:val="24"/>
        </w:rPr>
      </w:pPr>
      <w:r w:rsidDel="00000000" w:rsidR="00000000" w:rsidRPr="00000000">
        <w:rPr>
          <w:b w:val="1"/>
          <w:bCs w:val="1"/>
          <w:sz w:val="24"/>
          <w:szCs w:val="24"/>
          <w:rtl w:val="0"/>
        </w:rPr>
        <w:t xml:space="preserve">Kolejne cele pozostają poza zasięgiem</w:t>
      </w:r>
    </w:p>
    <w:p w:rsidR="00000000" w:rsidDel="00000000" w:rsidP="00000000" w:rsidRDefault="00000000" w:rsidRPr="00000000" w14:paraId="00000018">
      <w:pPr>
        <w:spacing w:after="240" w:before="240" w:lineRule="auto"/>
        <w:rPr/>
      </w:pPr>
      <w:r w:rsidDel="00000000" w:rsidR="00000000" w:rsidRPr="00000000">
        <w:rPr>
          <w:rtl w:val="0"/>
        </w:rPr>
        <w:t xml:space="preserve">Raport pokazuje, że trudności z realizacją Narodowej Strategii Onkologicznej dotyczą niemal każdego etapu opieki onkologicznej – od zapobiegania chorobie, przez diagnostykę, aż po leczenie.</w:t>
      </w:r>
    </w:p>
    <w:p w:rsidR="00000000" w:rsidDel="00000000" w:rsidP="00000000" w:rsidRDefault="00000000" w:rsidRPr="00000000" w14:paraId="00000019">
      <w:pPr>
        <w:spacing w:after="240" w:before="240" w:lineRule="auto"/>
        <w:rPr/>
      </w:pPr>
      <w:r w:rsidDel="00000000" w:rsidR="00000000" w:rsidRPr="00000000">
        <w:rPr>
          <w:rtl w:val="0"/>
        </w:rPr>
        <w:t xml:space="preserve">Choć w ostatnich latach wzrosła liczba specjalistów onkologii klinicznej, eksperci nadal szacują niedobór na około 500 lekarzy. To znacząca skala – w Polsce jest obecnie 1274 lekarzy specjalistów onkologii klinicznej, z czego 1258 aktywnie wykonuje zawód</w:t>
      </w:r>
      <w:r w:rsidDel="00000000" w:rsidR="00000000" w:rsidRPr="00000000">
        <w:rPr>
          <w:vertAlign w:val="superscript"/>
        </w:rPr>
        <w:footnoteReference w:customMarkFollows="0" w:id="0"/>
      </w:r>
      <w:r w:rsidDel="00000000" w:rsidR="00000000" w:rsidRPr="00000000">
        <w:rPr>
          <w:rtl w:val="0"/>
        </w:rPr>
        <w:t xml:space="preserve">, co oznacza, że braki odpowiadają niemal jednej trzeciej potrzebnej liczby specjalistów. Dodatkowo </w:t>
      </w:r>
      <w:r w:rsidDel="00000000" w:rsidR="00000000" w:rsidRPr="00000000">
        <w:rPr>
          <w:b w:val="1"/>
          <w:bCs w:val="1"/>
          <w:rtl w:val="0"/>
        </w:rPr>
        <w:t xml:space="preserve">blisko dwie trzecie miejsc rezydenckich w specjalizacjach onkologicznych pozostaje nieobsadzonych –</w:t>
      </w:r>
      <w:r w:rsidDel="00000000" w:rsidR="00000000" w:rsidRPr="00000000">
        <w:rPr>
          <w:rtl w:val="0"/>
        </w:rPr>
        <w:t xml:space="preserve"> w 2024 r. zapełniono zaledwie 24,5% miejsc rezydenckich w czterech dziedzinach onkologicznych, a w 2025 r. jedynie 33,1%, co rodzi obawy o możliwości systemu w obliczu stale rosnącej liczby zachorowań.</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Nie udało się również osiągnąć zakładanych efektów w zakresie profilaktyki pierwotnej. </w:t>
      </w:r>
      <w:r w:rsidDel="00000000" w:rsidR="00000000" w:rsidRPr="00000000">
        <w:rPr>
          <w:b w:val="1"/>
          <w:bCs w:val="1"/>
          <w:rtl w:val="0"/>
        </w:rPr>
        <w:t xml:space="preserve">Program szczepień przeciw HPV objął zaledwie 15,08% populacji docelowej, podczas gdy Strategia zakłada osiągnięcie 60% do końca 2028 roku. Jednocześnie zamiast zaplanowanej w NSO poprawy wskaźników zdrowotnych obserwujemy niekorzystne trendy – rośnie odsetek osób z nadwagą i otyłością, zwiększa się liczba osób palących papierosy oraz e-papierosy, a zachorowalność na nowotwory skóry wzrosła o ponad 20% względem okresu bazowego.</w:t>
      </w:r>
    </w:p>
    <w:p w:rsidR="00000000" w:rsidDel="00000000" w:rsidP="00000000" w:rsidRDefault="00000000" w:rsidRPr="00000000" w14:paraId="0000001B">
      <w:pPr>
        <w:spacing w:after="240" w:before="240" w:lineRule="auto"/>
        <w:rPr/>
      </w:pPr>
      <w:r w:rsidDel="00000000" w:rsidR="00000000" w:rsidRPr="00000000">
        <w:rPr>
          <w:rtl w:val="0"/>
        </w:rPr>
        <w:t xml:space="preserve">Autorzy raportu zwracają również uwagę, że mimo rozszerzania dostępu do innowacyjnych terapii, tempo zmian pozostaje niewystarczające, aby osiągnąć cele zapisane w Strategii, czyli objęcie refundacją 90% terapii onkologicznych dostępnych w Unii Europejskiej. W efekcie dostęp polskich pacjentów do nowoczesnego leczenia nadal odbiega od poziomu, który Narodowa Strategia Onkologiczna zakładała osiągnąć do 2030 roku.</w:t>
      </w:r>
    </w:p>
    <w:p w:rsidR="00000000" w:rsidDel="00000000" w:rsidP="00000000" w:rsidRDefault="00000000" w:rsidRPr="00000000" w14:paraId="0000001C">
      <w:pPr>
        <w:spacing w:after="240" w:before="240" w:lineRule="auto"/>
        <w:rPr>
          <w:b w:val="1"/>
          <w:bCs w:val="1"/>
          <w:sz w:val="24"/>
          <w:szCs w:val="24"/>
        </w:rPr>
      </w:pPr>
      <w:r w:rsidDel="00000000" w:rsidR="00000000" w:rsidRPr="00000000">
        <w:rPr>
          <w:b w:val="1"/>
          <w:bCs w:val="1"/>
          <w:sz w:val="24"/>
          <w:szCs w:val="24"/>
          <w:rtl w:val="0"/>
        </w:rPr>
        <w:t xml:space="preserve">Leczenie bez koordynacji i system pozbawiony kontroli jakości</w:t>
      </w:r>
    </w:p>
    <w:p w:rsidR="00000000" w:rsidDel="00000000" w:rsidP="00000000" w:rsidRDefault="00000000" w:rsidRPr="00000000" w14:paraId="0000001D">
      <w:pPr>
        <w:spacing w:after="240" w:before="240" w:lineRule="auto"/>
        <w:rPr/>
      </w:pPr>
      <w:r w:rsidDel="00000000" w:rsidR="00000000" w:rsidRPr="00000000">
        <w:rPr>
          <w:rtl w:val="0"/>
        </w:rPr>
        <w:t xml:space="preserve">Poważne zaległości dotyczą również organizacji opieki. Wyspecjalizowane ośrodki kompleksowego leczenia (tzw. Cancer Units) dla raka płuca, nowotworów ginekologicznych i urologicznych miały działać już od 2020 r. Po pięciu latach wciąż ich nie ma. Skutki widać w danych: w raku piersi, gdzie funkcjonują Breast Cancer Units, 96% leczenia zabiegowego rozliczane jest w ramach procedury DiLO, ale w raku płuca – już tylko 79%. W tym samym czasie terminowość diagnostyki onkologicznej w skali kraju się pogorszyła, a obiecane na koniec 2024 r. objęcie 100% pacjentów koordynowaną opieką onkologiczną pozostaje niezrealizowane.</w:t>
      </w:r>
    </w:p>
    <w:p w:rsidR="00000000" w:rsidDel="00000000" w:rsidP="00000000" w:rsidRDefault="00000000" w:rsidRPr="00000000" w14:paraId="0000001E">
      <w:pPr>
        <w:spacing w:after="240" w:before="240" w:lineRule="auto"/>
        <w:rPr/>
      </w:pPr>
      <w:r w:rsidDel="00000000" w:rsidR="00000000" w:rsidRPr="00000000">
        <w:rPr>
          <w:rtl w:val="0"/>
        </w:rPr>
        <w:t xml:space="preserve">Raport wskazuje ponadto, że </w:t>
      </w:r>
      <w:r w:rsidDel="00000000" w:rsidR="00000000" w:rsidRPr="00000000">
        <w:rPr>
          <w:b w:val="1"/>
          <w:bCs w:val="1"/>
          <w:rtl w:val="0"/>
        </w:rPr>
        <w:t xml:space="preserve">system w praktyce nie mierzy własnych efektów. Nie wdrożono elektronicznej karty DiLO (eDiLO), przez co przestrzeganie wytycznych diagnostyczno-terapeutycznych nie jest centralnie monitorowane. Nie działa ogólnopolski pomiar satysfakcji pacjentów ani rejestry narządowe, a pierwsze publiczne wskaźniki jakości leczenia NFZ ma opublikować dopiero w 2026 r., choć dostęp do informacji o jakości leczenia pacjenci mieli uzyskać już w 2021 r.</w:t>
      </w:r>
      <w:r w:rsidDel="00000000" w:rsidR="00000000" w:rsidRPr="00000000">
        <w:rPr>
          <w:rtl w:val="0"/>
        </w:rPr>
        <w:t xml:space="preserve"> Bez tych narzędzi jakość i bezpieczeństwo leczenia pozostają nierozliczalne.</w:t>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b w:val="1"/>
          <w:bCs w:val="1"/>
          <w:sz w:val="24"/>
          <w:szCs w:val="24"/>
          <w:rtl w:val="0"/>
        </w:rPr>
        <w:t xml:space="preserve">Nierówności wojewódzkie: miejsce zamieszkania decyduje o szansach</w:t>
      </w:r>
    </w:p>
    <w:p w:rsidR="00000000" w:rsidDel="00000000" w:rsidP="00000000" w:rsidRDefault="00000000" w:rsidRPr="00000000" w14:paraId="00000020">
      <w:pPr>
        <w:spacing w:after="240" w:before="240" w:lineRule="auto"/>
        <w:rPr/>
      </w:pPr>
      <w:r w:rsidDel="00000000" w:rsidR="00000000" w:rsidRPr="00000000">
        <w:rPr>
          <w:rtl w:val="0"/>
        </w:rPr>
        <w:t xml:space="preserve">Onkofundacja Alivia porównała wszystkie 16 województw w sześciu obszarach odpowiadających ścieżce pacjenta – od profilaktyki pierwotnej i badań przesiewowych, przez terminowość diagnostyki i koordynację leczenia, po kadry i efekt zdrowotny – dzieląc regiony w każdym z nich na trzy grupy (tercyle). Wyniki układają się w mapę głębokich, strukturalnych nierówności: najlepszy profil ma województwo podlaskie (pięć z sześciu obszarów w najlepszej grupie), a najtrudniejszy – świętokrzyskie i lubuskie.</w:t>
      </w:r>
    </w:p>
    <w:p w:rsidR="00000000" w:rsidDel="00000000" w:rsidP="00000000" w:rsidRDefault="00000000" w:rsidRPr="00000000" w14:paraId="00000021">
      <w:pPr>
        <w:spacing w:after="240" w:before="240" w:lineRule="auto"/>
        <w:rPr/>
      </w:pPr>
      <w:r w:rsidDel="00000000" w:rsidR="00000000" w:rsidRPr="00000000">
        <w:rPr>
          <w:rtl w:val="0"/>
        </w:rPr>
        <w:t xml:space="preserve">Rozpiętości są drastyczne. W województwie mazowieckim na 100 tys. mieszkańców przypada 5,65 onkologa, w opolskim – zaledwie 1,18, czyli blisko pięć razy mniej. Objęcie badaniami w kierunku raka piersi waha się od ok. 39,6% w woj. wielkopolskim do 29,0% w opolskim, a raka szyjki macicy – od 18,9% w świętokrzyskim do 9,0% w lubuskim. Relacja liczby zgonów do liczby zachorowań wynosi od 0,43 na Podkarpaciu do 0,61 na Śląsku. </w:t>
      </w:r>
      <w:r w:rsidDel="00000000" w:rsidR="00000000" w:rsidRPr="00000000">
        <w:rPr>
          <w:b w:val="1"/>
          <w:bCs w:val="1"/>
          <w:rtl w:val="0"/>
        </w:rPr>
        <w:t xml:space="preserve">Zapisany w Strategii cel wyrównania dostępu do profilaktyki i leczenia nie został osiągnięty – kod pocztowy wciąż pozostaje jednym z czynników rokowania.</w:t>
      </w:r>
      <w:r w:rsidDel="00000000" w:rsidR="00000000" w:rsidRPr="00000000">
        <w:rPr>
          <w:rtl w:val="0"/>
        </w:rPr>
      </w:r>
    </w:p>
    <w:p w:rsidR="00000000" w:rsidDel="00000000" w:rsidP="00000000" w:rsidRDefault="00000000" w:rsidRPr="00000000" w14:paraId="00000022">
      <w:pPr>
        <w:spacing w:after="240" w:before="240" w:lineRule="auto"/>
        <w:rPr>
          <w:b w:val="1"/>
          <w:bCs w:val="1"/>
          <w:sz w:val="24"/>
          <w:szCs w:val="24"/>
        </w:rPr>
      </w:pPr>
      <w:r w:rsidDel="00000000" w:rsidR="00000000" w:rsidRPr="00000000">
        <w:rPr>
          <w:b w:val="1"/>
          <w:bCs w:val="1"/>
          <w:sz w:val="24"/>
          <w:szCs w:val="24"/>
          <w:rtl w:val="0"/>
        </w:rPr>
        <w:t xml:space="preserve">Raport w szczególnym momencie dla polskiej ochrony zdrowia</w:t>
      </w:r>
    </w:p>
    <w:p w:rsidR="00000000" w:rsidDel="00000000" w:rsidP="00000000" w:rsidRDefault="00000000" w:rsidRPr="00000000" w14:paraId="00000023">
      <w:pPr>
        <w:spacing w:after="240" w:before="240" w:lineRule="auto"/>
        <w:rPr/>
      </w:pPr>
      <w:r w:rsidDel="00000000" w:rsidR="00000000" w:rsidRPr="00000000">
        <w:rPr>
          <w:rtl w:val="0"/>
        </w:rPr>
        <w:t xml:space="preserve">Publikacja raportu przypada na okres szczególnie ważnej debaty o przyszłości polskiego systemu ochrony zdrowia.</w:t>
      </w:r>
    </w:p>
    <w:p w:rsidR="00000000" w:rsidDel="00000000" w:rsidP="00000000" w:rsidRDefault="00000000" w:rsidRPr="00000000" w14:paraId="00000024">
      <w:pPr>
        <w:spacing w:after="240" w:before="240" w:lineRule="auto"/>
        <w:rPr/>
      </w:pPr>
      <w:r w:rsidDel="00000000" w:rsidR="00000000" w:rsidRPr="00000000">
        <w:rPr>
          <w:rtl w:val="0"/>
        </w:rPr>
        <w:t xml:space="preserve">Organizacje pacjenckie od wielu miesięcy alarmują, że pogłębiające się problemy finansowe ochrony zdrowia mogą przełożyć się na wydłużanie kolejek, ograniczenie dostępności świadczeń i zahamowanie rozpoczętych reform. W takich warunkach szczególnego znaczenia nabiera pytanie, czy państwo będzie w stanie nie tylko kontynuować dotychczasowe działania, ale również dokończyć ambitne cele zapisane w Narodowej Strategii Onkologicznej.</w:t>
      </w:r>
    </w:p>
    <w:p w:rsidR="00000000" w:rsidDel="00000000" w:rsidP="00000000" w:rsidRDefault="00000000" w:rsidRPr="00000000" w14:paraId="00000025">
      <w:pPr>
        <w:spacing w:after="240" w:before="240" w:lineRule="auto"/>
        <w:rPr/>
      </w:pPr>
      <w:r w:rsidDel="00000000" w:rsidR="00000000" w:rsidRPr="00000000">
        <w:rPr>
          <w:rtl w:val="0"/>
        </w:rPr>
        <w:t xml:space="preserve">Autorzy raportu podkreślają, że właśnie dziś potrzebna jest konsekwencja w realizacji reform, a nie ich spowalnianie. Liczba zachorowań na nowotwory będzie rosła wraz ze starzeniem się społeczeństwa, dlatego każda niewykorzystana szansa na wcześniejsze wykrycie choroby czy sprawniejsze leczenie oznacza konsekwencje dla pacjentów i całego systemu.</w:t>
      </w:r>
    </w:p>
    <w:p w:rsidR="00000000" w:rsidDel="00000000" w:rsidP="00000000" w:rsidRDefault="00000000" w:rsidRPr="00000000" w14:paraId="00000026">
      <w:pPr>
        <w:numPr>
          <w:ilvl w:val="0"/>
          <w:numId w:val="2"/>
        </w:numPr>
        <w:spacing w:after="240" w:before="240" w:lineRule="auto"/>
        <w:ind w:left="720" w:hanging="360"/>
        <w:rPr>
          <w:i w:val="1"/>
          <w:iCs w:val="1"/>
        </w:rPr>
      </w:pPr>
      <w:r w:rsidDel="00000000" w:rsidR="00000000" w:rsidRPr="00000000">
        <w:rPr>
          <w:i w:val="1"/>
          <w:iCs w:val="1"/>
          <w:rtl w:val="0"/>
        </w:rPr>
        <w:t xml:space="preserve">Największym wyzwaniem jest teraz luka finansowa w systemie ochrony zdrowia, która w 2026 r. szacowana jest na około 23 mld zł, a prognozy ostrzegają, że bez zmian może sięgnąć nawet 171 mld zł w 2040 r</w:t>
      </w:r>
      <w:r w:rsidDel="00000000" w:rsidR="00000000" w:rsidRPr="00000000">
        <w:rPr>
          <w:i w:val="1"/>
          <w:iCs w:val="1"/>
          <w:vertAlign w:val="superscript"/>
        </w:rPr>
        <w:footnoteReference w:customMarkFollows="0" w:id="1"/>
      </w:r>
      <w:r w:rsidDel="00000000" w:rsidR="00000000" w:rsidRPr="00000000">
        <w:rPr>
          <w:i w:val="1"/>
          <w:iCs w:val="1"/>
          <w:rtl w:val="0"/>
        </w:rPr>
        <w:t xml:space="preserve">. Skutki są już odczuwalne dla pacjentów onkologicznych: od 2026 r. ograniczono rozliczanie nadwykonań w diagnostyce, w tym w kolonoskopii, gastroskopii, rezonansie i tomografii, czyli w badaniach decydujących o wczesnym wykryciu nowotworu. Stawką jest pytanie zasadnicze: czy w warunkach narastającej presji finansowej Polskę będzie stać na leczenie onkologiczne na poziomie światowym? </w:t>
      </w:r>
      <w:r w:rsidDel="00000000" w:rsidR="00000000" w:rsidRPr="00000000">
        <w:rPr>
          <w:rtl w:val="0"/>
        </w:rPr>
        <w:t xml:space="preserve">– pyta Joanna Frątczak-Kazana, Wicedyrektorka Onkofundacji Alivia. </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W onkologii nie da się odzyskać straconego czasu. Dlatego druga połowa realizacji Narodowej Strategii Onkologicznej będzie sprawdzianem z tego, czy państwo potrafi przełożyć ambitne zapisy dokumentu na coś, co dla pacjentów ma największe znaczenie – szansę na wcześniejszą diagnozę, skuteczne leczenie i dłuższe życie.</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Onkofundacja Alivia będzie nadal monitorować realizację Narodowej Strategii Onkologicznej i co roku publikować niezależną ocenę jej postępów. Pacjenci mają prawo wiedzieć nie tylko, jakie działania zostały zaplanowane, ale przede wszystkim, czy przekładają się one na poprawę jakości i dostępności opieki onkologicznej.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t xml:space="preserve">Onkofundacja Alivia od 16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8">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9">
        <w:r w:rsidDel="00000000" w:rsidR="00000000" w:rsidRPr="00000000">
          <w:rPr>
            <w:color w:val="1155cc"/>
            <w:u w:val="single"/>
            <w:rtl w:val="0"/>
          </w:rPr>
          <w:t xml:space="preserve">Alivia Oncoindex</w:t>
        </w:r>
      </w:hyperlink>
      <w:r w:rsidDel="00000000" w:rsidR="00000000" w:rsidRPr="00000000">
        <w:rPr>
          <w:rtl w:val="0"/>
        </w:rPr>
        <w:t xml:space="preserve">, </w:t>
      </w:r>
      <w:hyperlink r:id="rId10">
        <w:r w:rsidDel="00000000" w:rsidR="00000000" w:rsidRPr="00000000">
          <w:rPr>
            <w:color w:val="1155cc"/>
            <w:u w:val="single"/>
            <w:rtl w:val="0"/>
          </w:rPr>
          <w:t xml:space="preserve">Alivia Onkoskaner</w:t>
        </w:r>
      </w:hyperlink>
      <w:r w:rsidDel="00000000" w:rsidR="00000000" w:rsidRPr="00000000">
        <w:rPr>
          <w:rtl w:val="0"/>
        </w:rPr>
        <w:t xml:space="preserve">, </w:t>
      </w:r>
      <w:hyperlink r:id="rId11">
        <w:r w:rsidDel="00000000" w:rsidR="00000000" w:rsidRPr="00000000">
          <w:rPr>
            <w:color w:val="1155cc"/>
            <w:u w:val="single"/>
            <w:rtl w:val="0"/>
          </w:rPr>
          <w:t xml:space="preserve">Alivia Onkomapa</w:t>
        </w:r>
      </w:hyperlink>
      <w:r w:rsidDel="00000000" w:rsidR="00000000" w:rsidRPr="00000000">
        <w:rPr>
          <w:rtl w:val="0"/>
        </w:rPr>
        <w:t xml:space="preserve">, </w:t>
      </w:r>
      <w:hyperlink r:id="rId12">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50 milionów złotych na pokrycie nierefundowanych przez NFZ kosztów leczenia w ramach programu </w:t>
      </w:r>
      <w:hyperlink r:id="rId13">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4">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Marta Sikorska</w:t>
      </w:r>
    </w:p>
    <w:p w:rsidR="00000000" w:rsidDel="00000000" w:rsidP="00000000" w:rsidRDefault="00000000" w:rsidRPr="00000000" w14:paraId="00000030">
      <w:pPr>
        <w:rPr/>
      </w:pPr>
      <w:r w:rsidDel="00000000" w:rsidR="00000000" w:rsidRPr="00000000">
        <w:rPr>
          <w:rtl w:val="0"/>
        </w:rPr>
        <w:t xml:space="preserve">Onkofundacja Alivia</w:t>
      </w:r>
    </w:p>
    <w:p w:rsidR="00000000" w:rsidDel="00000000" w:rsidP="00000000" w:rsidRDefault="00000000" w:rsidRPr="00000000" w14:paraId="00000031">
      <w:pPr>
        <w:rPr/>
      </w:pPr>
      <w:r w:rsidDel="00000000" w:rsidR="00000000" w:rsidRPr="00000000">
        <w:rPr>
          <w:rtl w:val="0"/>
        </w:rPr>
        <w:t xml:space="preserve">Koordynatorka ds. komunikacji i PR</w:t>
      </w:r>
    </w:p>
    <w:p w:rsidR="00000000" w:rsidDel="00000000" w:rsidP="00000000" w:rsidRDefault="00000000" w:rsidRPr="00000000" w14:paraId="00000032">
      <w:pPr>
        <w:rPr/>
      </w:pPr>
      <w:r w:rsidDel="00000000" w:rsidR="00000000" w:rsidRPr="00000000">
        <w:rPr>
          <w:rtl w:val="0"/>
        </w:rPr>
        <w:t xml:space="preserve">tel. +48 514 497 254</w:t>
      </w:r>
    </w:p>
    <w:p w:rsidR="00000000" w:rsidDel="00000000" w:rsidP="00000000" w:rsidRDefault="00000000" w:rsidRPr="00000000" w14:paraId="00000033">
      <w:pPr>
        <w:rPr>
          <w:rFonts w:ascii="Poppins" w:cs="Poppins" w:eastAsia="Poppins" w:hAnsi="Poppins"/>
          <w:color w:val="003b50"/>
        </w:rPr>
      </w:pPr>
      <w:hyperlink r:id="rId15">
        <w:r w:rsidDel="00000000" w:rsidR="00000000" w:rsidRPr="00000000">
          <w:rPr>
            <w:color w:val="1155cc"/>
            <w:u w:val="single"/>
            <w:rtl w:val="0"/>
          </w:rPr>
          <w:t xml:space="preserve">marta.sikorska@alivia.org.pl</w:t>
        </w:r>
      </w:hyperlink>
      <w:r w:rsidDel="00000000" w:rsidR="00000000" w:rsidRPr="00000000">
        <w:rPr>
          <w:rtl w:val="0"/>
        </w:rPr>
      </w:r>
    </w:p>
    <w:p w:rsidR="00000000" w:rsidDel="00000000" w:rsidP="00000000" w:rsidRDefault="00000000" w:rsidRPr="00000000" w14:paraId="00000034">
      <w:pPr>
        <w:jc w:val="left"/>
        <w:rPr>
          <w:rFonts w:ascii="Poppins" w:cs="Poppins" w:eastAsia="Poppins" w:hAnsi="Poppins"/>
          <w:color w:val="003b50"/>
        </w:rPr>
      </w:pPr>
      <w:r w:rsidDel="00000000" w:rsidR="00000000" w:rsidRPr="00000000">
        <w:rPr>
          <w:rtl w:val="0"/>
        </w:rPr>
      </w:r>
    </w:p>
    <w:sectPr>
      <w:headerReference r:id="rId16" w:type="default"/>
      <w:foot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40">
    <w:pPr>
      <w:rPr>
        <w:rFonts w:ascii="Poppins SemiBold" w:cs="Poppins SemiBold" w:eastAsia="Poppins SemiBold" w:hAnsi="Poppins SemiBold"/>
        <w:color w:val="11c0f2"/>
        <w:sz w:val="12"/>
        <w:szCs w:val="1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1">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6"/>
            <w:szCs w:val="16"/>
            <w:u w:val="single"/>
            <w:rtl w:val="0"/>
          </w:rPr>
          <w:t xml:space="preserve">https://nio.gov.pl/nio-i-cmkp-wspolpracuja-w-zakresie-ksztalcenia-kadr-dla-polskiej-onkologii</w:t>
        </w:r>
      </w:hyperlink>
      <w:r w:rsidDel="00000000" w:rsidR="00000000" w:rsidRPr="00000000">
        <w:rPr>
          <w:sz w:val="16"/>
          <w:szCs w:val="16"/>
          <w:rtl w:val="0"/>
        </w:rPr>
        <w:t xml:space="preserve"> </w:t>
      </w:r>
    </w:p>
  </w:footnote>
  <w:footnote w:id="1">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Szacunki MZ i NFZ dot. luki w finansowaniu ochrony zdrowia w 2026 r. (ok. 23 mld zł): Federacja Przedsiębiorców Polskich. (2026). Prezentacja: ustawa zdrowotna (7.04.2026), slajd 2. </w:t>
      </w:r>
      <w:hyperlink r:id="rId2">
        <w:r w:rsidDel="00000000" w:rsidR="00000000" w:rsidRPr="00000000">
          <w:rPr>
            <w:color w:val="1155cc"/>
            <w:sz w:val="16"/>
            <w:szCs w:val="16"/>
            <w:u w:val="single"/>
            <w:rtl w:val="0"/>
          </w:rPr>
          <w:t xml:space="preserve">Plan ratunkowy dla ochrony zdrowia</w:t>
        </w:r>
      </w:hyperlink>
      <w:r w:rsidDel="00000000" w:rsidR="00000000" w:rsidRPr="00000000">
        <w:rPr>
          <w:sz w:val="16"/>
          <w:szCs w:val="16"/>
          <w:rtl w:val="0"/>
        </w:rPr>
        <w:t xml:space="preserve">; prognoza do ok. 171 mld zł w 2040 r.: NIZP PZH-PIB. (2025), s. 6. </w:t>
      </w:r>
      <w:hyperlink r:id="rId3">
        <w:r w:rsidDel="00000000" w:rsidR="00000000" w:rsidRPr="00000000">
          <w:rPr>
            <w:color w:val="1155cc"/>
            <w:sz w:val="16"/>
            <w:szCs w:val="16"/>
            <w:u w:val="single"/>
            <w:rtl w:val="0"/>
          </w:rPr>
          <w:t xml:space="preserve">Luka finansowa w ochronie zdrowia</w:t>
        </w:r>
      </w:hyperlink>
      <w:r w:rsidDel="00000000" w:rsidR="00000000" w:rsidRPr="00000000">
        <w:rPr>
          <w:sz w:val="16"/>
          <w:szCs w:val="16"/>
          <w:rtl w:val="0"/>
        </w:rPr>
        <w:t xml:space="preserve">; doniesienia z przełomu 2025/2026 r. o ograniczeniu rozliczania nadwykonań w diagnostyce (dostęp: 2.07.2026).</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95463" cy="578972"/>
          <wp:effectExtent b="0" l="0" r="0" t="0"/>
          <wp:wrapNone/>
          <wp:docPr id="3" name="image1.png"/>
          <a:graphic>
            <a:graphicData uri="http://schemas.openxmlformats.org/drawingml/2006/picture">
              <pic:pic>
                <pic:nvPicPr>
                  <pic:cNvPr id="0" name="image1.png"/>
                  <pic:cNvPicPr preferRelativeResize="0"/>
                </pic:nvPicPr>
                <pic:blipFill>
                  <a:blip r:embed="rId1"/>
                  <a:srcRect b="0" l="7407" r="-7407" t="0"/>
                  <a:stretch>
                    <a:fillRect/>
                  </a:stretch>
                </pic:blipFill>
                <pic:spPr>
                  <a:xfrm>
                    <a:off x="0" y="0"/>
                    <a:ext cx="1795463" cy="578972"/>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36">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37">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38">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39">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mapa.pl/" TargetMode="External"/><Relationship Id="rId10" Type="http://schemas.openxmlformats.org/officeDocument/2006/relationships/hyperlink" Target="https://onkoskaner.pl/" TargetMode="External"/><Relationship Id="rId13" Type="http://schemas.openxmlformats.org/officeDocument/2006/relationships/hyperlink" Target="https://onkozbiorka.pl/" TargetMode="External"/><Relationship Id="rId12" Type="http://schemas.openxmlformats.org/officeDocument/2006/relationships/hyperlink" Target="https://onkosnajper.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ncoindex.org/pl/polska" TargetMode="External"/><Relationship Id="rId15" Type="http://schemas.openxmlformats.org/officeDocument/2006/relationships/hyperlink" Target="mailto:marta.sikorska@alivia.org.pl" TargetMode="External"/><Relationship Id="rId14" Type="http://schemas.openxmlformats.org/officeDocument/2006/relationships/hyperlink" Target="http://alivia.org.p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moja.alivia.org.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nio.gov.pl/nio-i-cmkp-wspolpracuja-w-zakresie-ksztalcenia-kadr-dla-polskiej-onkologii" TargetMode="External"/><Relationship Id="rId2" Type="http://schemas.openxmlformats.org/officeDocument/2006/relationships/hyperlink" Target="https://federacjaprzedsiebiorcow.pl/wp-content/uploads/2026/04/2026-04-07-FPP-ustawa-zdrowotna-prezentacja.pdf" TargetMode="External"/><Relationship Id="rId3" Type="http://schemas.openxmlformats.org/officeDocument/2006/relationships/hyperlink" Target="https://www.pzh.gov.pl/download/43420/?tmstv=17651934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